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F88D6">
      <w:pPr>
        <w:pStyle w:val="4"/>
        <w:bidi w:val="0"/>
        <w:ind w:left="0" w:leftChars="0" w:firstLine="0" w:firstLineChars="0"/>
        <w:rPr>
          <w:rFonts w:hint="eastAsia"/>
          <w:lang w:val="en-US" w:eastAsia="zh-CN"/>
        </w:rPr>
      </w:pPr>
      <w:bookmarkStart w:id="1" w:name="_GoBack"/>
      <w:bookmarkEnd w:id="1"/>
      <w:r>
        <w:rPr>
          <w:rFonts w:hint="eastAsia"/>
          <w:lang w:val="en-US" w:eastAsia="zh-CN"/>
        </w:rPr>
        <w:t>附件</w:t>
      </w:r>
    </w:p>
    <w:p w14:paraId="58760F28">
      <w:pPr>
        <w:rPr>
          <w:rFonts w:hint="default"/>
          <w:lang w:val="en-US" w:eastAsia="zh-CN"/>
        </w:rPr>
      </w:pPr>
    </w:p>
    <w:p w14:paraId="149B4B73">
      <w:pPr>
        <w:pStyle w:val="3"/>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黑龙江省支持信息通信业加快发展</w:t>
      </w:r>
    </w:p>
    <w:p w14:paraId="2E34B6BA">
      <w:pPr>
        <w:pStyle w:val="3"/>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若干政策措施</w:t>
      </w:r>
    </w:p>
    <w:p w14:paraId="4FBFE0DE">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w:t>
      </w:r>
      <w:r>
        <w:rPr>
          <w:rFonts w:hint="eastAsia" w:ascii="Times New Roman" w:hAnsi="Times New Roman" w:eastAsia="楷体_GB2312" w:cs="Times New Roman"/>
          <w:color w:val="auto"/>
          <w:highlight w:val="none"/>
          <w:lang w:eastAsia="zh-CN"/>
        </w:rPr>
        <w:t>征求意见稿</w:t>
      </w:r>
      <w:r>
        <w:rPr>
          <w:rFonts w:hint="default" w:ascii="Times New Roman" w:hAnsi="Times New Roman" w:eastAsia="楷体_GB2312" w:cs="Times New Roman"/>
          <w:color w:val="auto"/>
          <w:highlight w:val="none"/>
        </w:rPr>
        <w:t>）</w:t>
      </w:r>
    </w:p>
    <w:p w14:paraId="3CD6158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highlight w:val="none"/>
        </w:rPr>
      </w:pPr>
    </w:p>
    <w:p w14:paraId="2DF4FB61">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深入贯彻习近平总书记重要讲话重要指示精神，全面落实党的二十大和二十届历次全会及中央经济工作会议精神，按照省第十三次党代会及历次全会部署要求，聚焦“十五五”规划谋划，抢抓人工智能发展机遇，以重点场景网络深度覆盖夯实数字底座，以5G-A、50G-PON等前沿技术布局引领产业创新，以融合应用赋能千行百业，加快“数字龙江”建设，带动战略性新兴产业和未来产业加快发展，特制定如下政策措施。</w:t>
      </w:r>
    </w:p>
    <w:p w14:paraId="1D7FF41E">
      <w:pPr>
        <w:keepNext w:val="0"/>
        <w:keepLines w:val="0"/>
        <w:pageBreakBefore w:val="0"/>
        <w:widowControl w:val="0"/>
        <w:kinsoku/>
        <w:wordWrap/>
        <w:overflowPunct/>
        <w:topLinePunct w:val="0"/>
        <w:autoSpaceDE/>
        <w:autoSpaceDN/>
        <w:bidi w:val="0"/>
        <w:adjustRightInd/>
        <w:snapToGrid/>
        <w:spacing w:line="560" w:lineRule="exact"/>
        <w:ind w:left="420" w:firstLine="0" w:firstLine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一、引导产业创新发展</w:t>
      </w:r>
    </w:p>
    <w:p w14:paraId="5D771C5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引导加大下一代演进技术投入力度。</w:t>
      </w:r>
      <w:r>
        <w:rPr>
          <w:rFonts w:hint="default" w:ascii="Times New Roman" w:hAnsi="Times New Roman" w:eastAsia="仿宋_GB2312" w:cs="Times New Roman"/>
          <w:color w:val="auto"/>
          <w:sz w:val="32"/>
          <w:szCs w:val="32"/>
          <w:highlight w:val="none"/>
        </w:rPr>
        <w:t>加大5G-A的投资及建设力度，重点解决我省重要景点等人流密集区域</w:t>
      </w:r>
      <w:r>
        <w:rPr>
          <w:rFonts w:hint="default" w:ascii="Times New Roman" w:hAnsi="Times New Roman" w:eastAsia="仿宋_GB2312" w:cs="Times New Roman"/>
          <w:color w:val="auto"/>
          <w:sz w:val="32"/>
          <w:szCs w:val="32"/>
          <w:highlight w:val="none"/>
          <w:lang w:eastAsia="zh-CN"/>
        </w:rPr>
        <w:t>所面临的，</w:t>
      </w:r>
      <w:r>
        <w:rPr>
          <w:rFonts w:hint="default" w:ascii="Times New Roman" w:hAnsi="Times New Roman" w:eastAsia="仿宋_GB2312" w:cs="Times New Roman"/>
          <w:color w:val="auto"/>
          <w:sz w:val="32"/>
          <w:szCs w:val="32"/>
          <w:highlight w:val="none"/>
        </w:rPr>
        <w:t>人流量大、</w:t>
      </w:r>
      <w:r>
        <w:rPr>
          <w:rFonts w:hint="default" w:ascii="Times New Roman" w:hAnsi="Times New Roman" w:eastAsia="仿宋_GB2312" w:cs="Times New Roman"/>
          <w:color w:val="auto"/>
          <w:sz w:val="32"/>
          <w:szCs w:val="32"/>
          <w:highlight w:val="none"/>
          <w:lang w:eastAsia="zh-CN"/>
        </w:rPr>
        <w:t>瞬时</w:t>
      </w:r>
      <w:r>
        <w:rPr>
          <w:rFonts w:hint="default" w:ascii="Times New Roman" w:hAnsi="Times New Roman" w:eastAsia="仿宋_GB2312" w:cs="Times New Roman"/>
          <w:color w:val="auto"/>
          <w:sz w:val="32"/>
          <w:szCs w:val="32"/>
          <w:highlight w:val="none"/>
        </w:rPr>
        <w:t>流量高、低时延使用需求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5G网络难以</w:t>
      </w:r>
      <w:r>
        <w:rPr>
          <w:rFonts w:hint="default" w:ascii="Times New Roman" w:hAnsi="Times New Roman" w:eastAsia="仿宋_GB2312" w:cs="Times New Roman"/>
          <w:color w:val="auto"/>
          <w:sz w:val="32"/>
          <w:szCs w:val="32"/>
          <w:highlight w:val="none"/>
          <w:lang w:eastAsia="zh-CN"/>
        </w:rPr>
        <w:t>实现的网络使用感知问题</w:t>
      </w:r>
      <w:r>
        <w:rPr>
          <w:rFonts w:hint="default" w:ascii="Times New Roman" w:hAnsi="Times New Roman" w:eastAsia="仿宋_GB2312" w:cs="Times New Roman"/>
          <w:color w:val="auto"/>
          <w:sz w:val="32"/>
          <w:szCs w:val="32"/>
          <w:highlight w:val="none"/>
        </w:rPr>
        <w:t>，促进上述区域视频直播、低空经济、行业应用等新业态发展，对政策期内我省基础电信企业建设完工并投入运行的新增5G-A基站，给予每个一次性补贴2万元。</w:t>
      </w:r>
    </w:p>
    <w:p w14:paraId="5D8E9A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支持创新项目应用推广。</w:t>
      </w:r>
      <w:r>
        <w:rPr>
          <w:rFonts w:hint="default" w:ascii="Times New Roman" w:hAnsi="Times New Roman" w:eastAsia="仿宋_GB2312" w:cs="Times New Roman"/>
          <w:color w:val="auto"/>
          <w:sz w:val="32"/>
          <w:szCs w:val="32"/>
          <w:highlight w:val="none"/>
        </w:rPr>
        <w:t>为丰富我省创新应用优势，激活数字经济创新动能，推动算网应用提质增效，助力创新成果从“赛场”走向“市场”、提升参赛企业核心竞争力，对代表我省参加“华彩杯”“绽放杯”“兴智杯”等具有标杆引领作用的国家级赛事，</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获得奖项</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已</w:t>
      </w:r>
      <w:r>
        <w:rPr>
          <w:rFonts w:hint="eastAsia" w:ascii="Times New Roman" w:hAnsi="Times New Roman" w:eastAsia="仿宋_GB2312" w:cs="Times New Roman"/>
          <w:color w:val="auto"/>
          <w:sz w:val="32"/>
          <w:szCs w:val="32"/>
          <w:highlight w:val="none"/>
          <w:lang w:eastAsia="zh-CN"/>
        </w:rPr>
        <w:t>在我省</w:t>
      </w:r>
      <w:r>
        <w:rPr>
          <w:rFonts w:hint="default" w:ascii="Times New Roman" w:hAnsi="Times New Roman" w:eastAsia="仿宋_GB2312" w:cs="Times New Roman"/>
          <w:color w:val="auto"/>
          <w:sz w:val="32"/>
          <w:szCs w:val="32"/>
          <w:highlight w:val="none"/>
        </w:rPr>
        <w:t>实现成果转化的企业，给予一次性资金奖励</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符合条件获得全国总决赛一、二、三等奖的企业分别给予30万元、20万元、10万元奖励；对符合条件获得区域赛一、二、三等奖、优胜奖的企业，分别给予8万元、5万元、3万元、1万元一次性奖励。奖励实行“多奖多享、同一项目不重复享受”原则。</w:t>
      </w:r>
    </w:p>
    <w:p w14:paraId="7419F97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支持复合材料通信塔（杆）推广应用。</w:t>
      </w:r>
      <w:r>
        <w:rPr>
          <w:rFonts w:hint="default" w:ascii="Times New Roman" w:hAnsi="Times New Roman" w:eastAsia="仿宋_GB2312" w:cs="Times New Roman"/>
          <w:color w:val="auto"/>
          <w:sz w:val="32"/>
          <w:szCs w:val="32"/>
          <w:highlight w:val="none"/>
        </w:rPr>
        <w:t>推动高性能纤维增强复合材料通信塔在黑龙江省内首批次示范落地，主要解决传统钢塔重量大、碳排放高、消耗金属资源的问题，重点支持培育本地复合材料通信塔相关产业链发展，加快绿色低碳通信杆塔替代，支持采购并实际建设采用纤维增强材料与树脂基体复合成型，且具备自主知识产权、自主研发制造能力的复合材料通信塔产品，对于政策期内建设完成并投入实际使用的复合材料通信塔（杆），</w:t>
      </w:r>
      <w:r>
        <w:rPr>
          <w:rFonts w:hint="default" w:ascii="Times New Roman" w:hAnsi="Times New Roman" w:eastAsia="仿宋_GB2312" w:cs="Times New Roman"/>
          <w:color w:val="auto"/>
          <w:sz w:val="32"/>
          <w:szCs w:val="32"/>
          <w:highlight w:val="none"/>
          <w:lang w:val="en-US" w:eastAsia="zh-CN"/>
        </w:rPr>
        <w:t>每个</w:t>
      </w:r>
      <w:r>
        <w:rPr>
          <w:rFonts w:hint="default" w:ascii="Times New Roman" w:hAnsi="Times New Roman" w:eastAsia="仿宋_GB2312" w:cs="Times New Roman"/>
          <w:color w:val="auto"/>
          <w:sz w:val="32"/>
          <w:szCs w:val="32"/>
          <w:highlight w:val="none"/>
        </w:rPr>
        <w:t>给予一次性补贴2万元。</w:t>
      </w:r>
    </w:p>
    <w:p w14:paraId="11E034A6">
      <w:pPr>
        <w:keepNext w:val="0"/>
        <w:keepLines w:val="0"/>
        <w:pageBreakBefore w:val="0"/>
        <w:widowControl w:val="0"/>
        <w:numPr>
          <w:ilvl w:val="0"/>
          <w:numId w:val="1"/>
        </w:numPr>
        <w:tabs>
          <w:tab w:val="left" w:pos="3360"/>
        </w:tabs>
        <w:kinsoku/>
        <w:wordWrap/>
        <w:overflowPunct/>
        <w:topLinePunct w:val="0"/>
        <w:autoSpaceDE/>
        <w:autoSpaceDN/>
        <w:bidi w:val="0"/>
        <w:adjustRightInd/>
        <w:snapToGrid/>
        <w:spacing w:line="560" w:lineRule="exact"/>
        <w:ind w:left="-100" w:leftChars="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rPr>
        <w:t>支持区域性国际通信业务出入口局建设。</w:t>
      </w:r>
      <w:r>
        <w:rPr>
          <w:rFonts w:hint="default" w:ascii="Times New Roman" w:hAnsi="Times New Roman" w:eastAsia="仿宋_GB2312" w:cs="Times New Roman"/>
          <w:color w:val="auto"/>
          <w:sz w:val="32"/>
          <w:szCs w:val="32"/>
          <w:highlight w:val="none"/>
        </w:rPr>
        <w:t>鼓励各基础电信企业拓展国际业务，对区域性国际通信出入口局设备建设予以支持，给予一次性补贴</w:t>
      </w:r>
      <w:r>
        <w:rPr>
          <w:rFonts w:hint="default" w:ascii="Times New Roman" w:hAnsi="Times New Roman" w:eastAsia="仿宋_GB2312" w:cs="Times New Roman"/>
          <w:color w:val="auto"/>
          <w:sz w:val="32"/>
          <w:szCs w:val="32"/>
          <w:highlight w:val="none"/>
          <w:lang w:val="en-US" w:eastAsia="zh-CN"/>
        </w:rPr>
        <w:t>80</w:t>
      </w:r>
      <w:r>
        <w:rPr>
          <w:rFonts w:hint="default" w:ascii="Times New Roman" w:hAnsi="Times New Roman" w:eastAsia="仿宋_GB2312" w:cs="Times New Roman"/>
          <w:color w:val="auto"/>
          <w:sz w:val="32"/>
          <w:szCs w:val="32"/>
          <w:highlight w:val="none"/>
        </w:rPr>
        <w:t>万元。</w:t>
      </w:r>
    </w:p>
    <w:p w14:paraId="78BF5BA1">
      <w:pPr>
        <w:keepNext w:val="0"/>
        <w:keepLines w:val="0"/>
        <w:pageBreakBefore w:val="0"/>
        <w:widowControl w:val="0"/>
        <w:numPr>
          <w:ilvl w:val="0"/>
          <w:numId w:val="1"/>
        </w:numPr>
        <w:tabs>
          <w:tab w:val="left" w:pos="3360"/>
        </w:tabs>
        <w:kinsoku/>
        <w:wordWrap/>
        <w:overflowPunct/>
        <w:topLinePunct w:val="0"/>
        <w:autoSpaceDE/>
        <w:autoSpaceDN/>
        <w:bidi w:val="0"/>
        <w:adjustRightInd/>
        <w:snapToGrid/>
        <w:spacing w:line="560" w:lineRule="exact"/>
        <w:ind w:left="-100" w:leftChars="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支持</w:t>
      </w:r>
      <w:r>
        <w:rPr>
          <w:rFonts w:hint="default" w:ascii="Times New Roman" w:hAnsi="Times New Roman" w:eastAsia="楷体_GB2312" w:cs="Times New Roman"/>
          <w:color w:val="auto"/>
          <w:sz w:val="32"/>
          <w:szCs w:val="32"/>
          <w:highlight w:val="none"/>
          <w:lang w:eastAsia="zh-CN"/>
        </w:rPr>
        <w:t>卫星地面接收站建设</w:t>
      </w:r>
      <w:r>
        <w:rPr>
          <w:rFonts w:hint="default" w:ascii="Times New Roman" w:hAnsi="Times New Roman" w:eastAsia="楷体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鼓励各基础电信企业提升通信卫星传输能力，对我省卫星地面接收站新建或升级改造项目予以支持，给予一次性补贴200万元。</w:t>
      </w:r>
    </w:p>
    <w:p w14:paraId="7BBE09EF">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二、支持重点场景通信网络提档升级</w:t>
      </w:r>
    </w:p>
    <w:p w14:paraId="27057D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鼓励支持电梯及地下停车场网络升级。</w:t>
      </w:r>
      <w:r>
        <w:rPr>
          <w:rFonts w:hint="default" w:ascii="Times New Roman" w:hAnsi="Times New Roman" w:eastAsia="仿宋_GB2312" w:cs="Times New Roman"/>
          <w:color w:val="auto"/>
          <w:sz w:val="32"/>
          <w:szCs w:val="32"/>
          <w:highlight w:val="none"/>
        </w:rPr>
        <w:t>鼓励基础电信企业在全省电梯及地下停车场开展通信基础设施建设，提升电梯及地下停车场网络覆盖，对于政策期内我省基础电信企业在电梯及地下停车场范围内建设完工并投入运行的新增室内分布系统、光纤直放站，给予每套一次性补贴1000元，对建设完工并投入运行的新增无线直放站，给予每套一次性补贴500元。</w:t>
      </w:r>
    </w:p>
    <w:p w14:paraId="0284E5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Chars="0"/>
        <w:textAlignment w:val="auto"/>
        <w:rPr>
          <w:rFonts w:hint="default" w:ascii="Times New Roman" w:hAnsi="Times New Roman" w:cs="Times New Roman"/>
          <w:color w:val="auto"/>
          <w:sz w:val="32"/>
          <w:szCs w:val="32"/>
          <w:highlight w:val="none"/>
        </w:rPr>
      </w:pPr>
      <w:r>
        <w:rPr>
          <w:rFonts w:hint="default" w:ascii="Times New Roman" w:hAnsi="Times New Roman" w:eastAsia="楷体_GB2312" w:cs="Times New Roman"/>
          <w:color w:val="auto"/>
          <w:sz w:val="32"/>
          <w:szCs w:val="32"/>
          <w:highlight w:val="none"/>
        </w:rPr>
        <w:t>加大重大通信工程项目支持力度。</w:t>
      </w:r>
      <w:bookmarkStart w:id="0" w:name="OLE_LINK1"/>
      <w:r>
        <w:rPr>
          <w:rFonts w:hint="default" w:ascii="Times New Roman" w:hAnsi="Times New Roman" w:eastAsia="仿宋_GB2312" w:cs="Times New Roman"/>
          <w:color w:val="auto"/>
          <w:sz w:val="32"/>
          <w:szCs w:val="32"/>
          <w:highlight w:val="none"/>
        </w:rPr>
        <w:t>聚焦边境地区（林区）、</w:t>
      </w:r>
      <w:r>
        <w:rPr>
          <w:rFonts w:hint="default" w:ascii="Times New Roman" w:hAnsi="Times New Roman" w:eastAsia="仿宋_GB2312" w:cs="Times New Roman"/>
          <w:color w:val="auto"/>
          <w:sz w:val="32"/>
          <w:szCs w:val="32"/>
          <w:highlight w:val="none"/>
          <w:lang w:val="en-US" w:eastAsia="zh-CN"/>
        </w:rPr>
        <w:t>交通要道沿线4G/5G基站</w:t>
      </w:r>
      <w:r>
        <w:rPr>
          <w:rFonts w:hint="default" w:ascii="Times New Roman" w:hAnsi="Times New Roman" w:eastAsia="仿宋_GB2312" w:cs="Times New Roman"/>
          <w:color w:val="auto"/>
          <w:sz w:val="32"/>
          <w:szCs w:val="32"/>
          <w:highlight w:val="none"/>
        </w:rPr>
        <w:t>建设，重点解决边境地区（</w:t>
      </w:r>
      <w:r>
        <w:rPr>
          <w:rFonts w:hint="default" w:ascii="Times New Roman" w:hAnsi="Times New Roman" w:eastAsia="仿宋_GB2312" w:cs="Times New Roman"/>
          <w:color w:val="auto"/>
          <w:sz w:val="32"/>
          <w:szCs w:val="32"/>
          <w:highlight w:val="none"/>
          <w:lang w:val="en-US" w:eastAsia="zh-CN"/>
        </w:rPr>
        <w:t>林区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、交通要道沿线4G/5G网络</w:t>
      </w:r>
      <w:r>
        <w:rPr>
          <w:rFonts w:hint="default" w:ascii="Times New Roman" w:hAnsi="Times New Roman" w:eastAsia="仿宋_GB2312" w:cs="Times New Roman"/>
          <w:color w:val="auto"/>
          <w:sz w:val="32"/>
          <w:szCs w:val="32"/>
          <w:highlight w:val="none"/>
        </w:rPr>
        <w:t>覆盖不全、使用体验不佳问题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对于政策期内我省基础电信企业在</w:t>
      </w:r>
      <w:r>
        <w:rPr>
          <w:rFonts w:hint="default" w:ascii="Times New Roman" w:hAnsi="Times New Roman" w:eastAsia="仿宋_GB2312" w:cs="Times New Roman"/>
          <w:color w:val="auto"/>
          <w:sz w:val="32"/>
          <w:szCs w:val="32"/>
          <w:highlight w:val="none"/>
          <w:lang w:val="en-US" w:eastAsia="zh-CN"/>
        </w:rPr>
        <w:t>上述</w:t>
      </w:r>
      <w:r>
        <w:rPr>
          <w:rFonts w:hint="default" w:ascii="Times New Roman" w:hAnsi="Times New Roman" w:eastAsia="仿宋_GB2312" w:cs="Times New Roman"/>
          <w:color w:val="auto"/>
          <w:sz w:val="32"/>
          <w:szCs w:val="32"/>
          <w:highlight w:val="none"/>
        </w:rPr>
        <w:t>场景内建设完工并投入运行的新增</w:t>
      </w:r>
      <w:r>
        <w:rPr>
          <w:rFonts w:hint="default" w:ascii="Times New Roman" w:hAnsi="Times New Roman" w:eastAsia="仿宋_GB2312" w:cs="Times New Roman"/>
          <w:color w:val="auto"/>
          <w:sz w:val="32"/>
          <w:szCs w:val="32"/>
          <w:highlight w:val="none"/>
          <w:lang w:val="en-US" w:eastAsia="zh-CN"/>
        </w:rPr>
        <w:t>4G/5G</w:t>
      </w:r>
      <w:r>
        <w:rPr>
          <w:rFonts w:hint="default" w:ascii="Times New Roman" w:hAnsi="Times New Roman" w:eastAsia="仿宋_GB2312" w:cs="Times New Roman"/>
          <w:color w:val="auto"/>
          <w:sz w:val="32"/>
          <w:szCs w:val="32"/>
          <w:highlight w:val="none"/>
        </w:rPr>
        <w:t>基站，给予每个一次性补贴5万元。同时，加快补齐农村及耕地等大地块区域通信基础设施短板，满足智慧农业数据传输需求，对于政策期内我省基础电信企业在智慧农业场景内建设完工并投入运行的新增</w:t>
      </w:r>
      <w:r>
        <w:rPr>
          <w:rFonts w:hint="default" w:ascii="Times New Roman" w:hAnsi="Times New Roman" w:eastAsia="仿宋_GB2312" w:cs="Times New Roman"/>
          <w:color w:val="auto"/>
          <w:sz w:val="32"/>
          <w:szCs w:val="32"/>
          <w:highlight w:val="none"/>
          <w:lang w:val="en-US" w:eastAsia="zh-CN"/>
        </w:rPr>
        <w:t>4G/5G</w:t>
      </w:r>
      <w:r>
        <w:rPr>
          <w:rFonts w:hint="default" w:ascii="Times New Roman" w:hAnsi="Times New Roman" w:eastAsia="仿宋_GB2312" w:cs="Times New Roman"/>
          <w:color w:val="auto"/>
          <w:sz w:val="32"/>
          <w:szCs w:val="32"/>
          <w:highlight w:val="none"/>
        </w:rPr>
        <w:t>基站，给予每个一次性补贴5万元。</w:t>
      </w:r>
    </w:p>
    <w:p w14:paraId="50D732C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Chars="0"/>
        <w:textAlignment w:val="auto"/>
        <w:rPr>
          <w:rFonts w:hint="default" w:ascii="Times New Roman" w:hAnsi="Times New Roman" w:cs="Times New Roman"/>
          <w:color w:val="auto"/>
          <w:sz w:val="32"/>
          <w:szCs w:val="32"/>
          <w:highlight w:val="none"/>
        </w:rPr>
      </w:pPr>
      <w:r>
        <w:rPr>
          <w:rFonts w:hint="default" w:ascii="Times New Roman" w:hAnsi="Times New Roman" w:eastAsia="楷体_GB2312" w:cs="Times New Roman"/>
          <w:color w:val="auto"/>
          <w:sz w:val="32"/>
          <w:szCs w:val="32"/>
          <w:highlight w:val="none"/>
        </w:rPr>
        <w:t>支持万兆光网基础设施试点建设。</w:t>
      </w:r>
      <w:r>
        <w:rPr>
          <w:rFonts w:hint="default" w:ascii="Times New Roman" w:hAnsi="Times New Roman" w:eastAsia="仿宋_GB2312" w:cs="Times New Roman"/>
          <w:color w:val="auto"/>
          <w:sz w:val="32"/>
          <w:szCs w:val="32"/>
          <w:highlight w:val="none"/>
        </w:rPr>
        <w:t>在适度超前、统筹应用的基础上，支持我省提前布局“万兆光网”50G-PON设备，为园区、楼宇、工厂数智化应用提供超大带宽、超大容量、超高速率的确定性光纤网络，对政策期内建设完工并投入运行的新增50G-PON设备，给予每套一次性补贴2万元</w:t>
      </w:r>
      <w:r>
        <w:rPr>
          <w:rFonts w:hint="default" w:ascii="Times New Roman" w:hAnsi="Times New Roman" w:eastAsia="仿宋_GB2312" w:cs="Times New Roman"/>
          <w:color w:val="auto"/>
          <w:sz w:val="32"/>
          <w:szCs w:val="32"/>
          <w:highlight w:val="none"/>
          <w:lang w:eastAsia="zh-CN"/>
        </w:rPr>
        <w:t>。</w:t>
      </w:r>
    </w:p>
    <w:p w14:paraId="583DDD3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支持应急通信基础设施补强。</w:t>
      </w:r>
      <w:bookmarkEnd w:id="0"/>
      <w:r>
        <w:rPr>
          <w:rFonts w:hint="default" w:ascii="Times New Roman" w:hAnsi="Times New Roman" w:cs="Times New Roman"/>
          <w:color w:val="auto"/>
          <w:sz w:val="32"/>
          <w:szCs w:val="32"/>
          <w:highlight w:val="none"/>
        </w:rPr>
        <w:t>聚焦提升灾害高风险区域网络健壮性及应急通信保障能力，鼓励电信企业积极建设“全网通”应急通信基站，在现有普通基站受灾害影响，出现传输、供电中断时，“全网通”应急通信基站可以确保网络不中断，且实现“全网通”（可以提供联通、移动、电信、广电4家网络服务）、超远距离通信信号覆盖及无线通信信号引接、超长待机等效果，政策期内给予每个基站8万元一次性补贴。</w:t>
      </w:r>
    </w:p>
    <w:p w14:paraId="16A2E83D">
      <w:pPr>
        <w:keepNext w:val="0"/>
        <w:keepLines w:val="0"/>
        <w:pageBreakBefore w:val="0"/>
        <w:widowControl w:val="0"/>
        <w:numPr>
          <w:ilvl w:val="0"/>
          <w:numId w:val="1"/>
        </w:numPr>
        <w:tabs>
          <w:tab w:val="left" w:pos="3360"/>
        </w:tabs>
        <w:kinsoku/>
        <w:wordWrap/>
        <w:overflowPunct/>
        <w:topLinePunct w:val="0"/>
        <w:autoSpaceDE/>
        <w:autoSpaceDN/>
        <w:bidi w:val="0"/>
        <w:adjustRightInd/>
        <w:snapToGrid/>
        <w:spacing w:line="560" w:lineRule="exact"/>
        <w:ind w:left="-100" w:leftChars="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支持算网改造升级。</w:t>
      </w:r>
      <w:r>
        <w:rPr>
          <w:rFonts w:hint="default" w:ascii="Times New Roman" w:hAnsi="Times New Roman" w:eastAsia="仿宋_GB2312" w:cs="Times New Roman"/>
          <w:color w:val="auto"/>
          <w:sz w:val="32"/>
          <w:szCs w:val="32"/>
          <w:highlight w:val="none"/>
        </w:rPr>
        <w:t>聚焦提升算网协同调度能力，加快构建全省大容量、低时延、高可靠的城域算力网络体系，锚定算力中心毫秒互联、算力资源毫秒接入、算力应用毫秒可达核心建设目标，推动算力网络承载效能、调度效率、服务质量全域提档升级，筑牢普惠算力服务根基，更好支撑各类市场主体、行业应用及社会公众享受就近可及、高速稳定、便捷高效的算力服务。鼓励电信企业实施传送网、承载网等重点网络设施升级改造，对政策有效期内完成网络设备提档升级，新增开通、正式投运并承载实际业务的100G及以上算网端口，且项目符合“毫秒用算”行动要求，按核验合格的100G物理端口数量给予每个端口3500元定额补贴。单个申报主体年度累计补贴总额最高不超过1</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00万元。</w:t>
      </w:r>
    </w:p>
    <w:p w14:paraId="03279A55">
      <w:pPr>
        <w:keepNext w:val="0"/>
        <w:keepLines w:val="0"/>
        <w:pageBreakBefore w:val="0"/>
        <w:widowControl w:val="0"/>
        <w:kinsoku/>
        <w:wordWrap/>
        <w:overflowPunct/>
        <w:topLinePunct w:val="0"/>
        <w:autoSpaceDE/>
        <w:autoSpaceDN/>
        <w:bidi w:val="0"/>
        <w:adjustRightInd/>
        <w:snapToGrid/>
        <w:spacing w:line="560" w:lineRule="exact"/>
        <w:ind w:firstLine="560"/>
        <w:textAlignment w:val="auto"/>
      </w:pPr>
      <w:r>
        <w:rPr>
          <w:rFonts w:hint="default" w:ascii="Times New Roman" w:hAnsi="Times New Roman" w:eastAsia="仿宋_GB2312" w:cs="Times New Roman"/>
          <w:color w:val="auto"/>
          <w:sz w:val="32"/>
          <w:szCs w:val="32"/>
          <w:highlight w:val="none"/>
        </w:rPr>
        <w:t>本政策自印发之日起施行，有效期至2028年12月31日。符合本政策措施，同时符合我省其他扶持政策规定的，按照从优、就高、不重复的原则予以支持，另有规定的除外。本政策涉及的奖补资金实行“一年一结算”，不溯及奖补年度以前的项目及相应的奖补资金。政策具体条款实施细则由黑龙江省通信管理局负责制定并解释。</w:t>
      </w: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1DF2">
    <w:pPr>
      <w:pStyle w:val="6"/>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ECF44">
                          <w:pPr>
                            <w:pStyle w:val="6"/>
                            <w:ind w:left="0" w:leftChars="0" w:firstLine="0" w:firstLineChars="0"/>
                            <w:rPr>
                              <w:rFonts w:hint="eastAsia" w:asciiTheme="minorEastAsia" w:hAnsiTheme="minorEastAsia" w:eastAsiaTheme="minorEastAsia" w:cstheme="minorEastAsia"/>
                              <w:sz w:val="32"/>
                              <w:szCs w:val="48"/>
                            </w:rPr>
                          </w:pPr>
                          <w:r>
                            <w:rPr>
                              <w:rFonts w:hint="eastAsia" w:asciiTheme="minorEastAsia" w:hAnsiTheme="minorEastAsia" w:eastAsiaTheme="minorEastAsia" w:cstheme="minorEastAsia"/>
                              <w:sz w:val="32"/>
                              <w:szCs w:val="48"/>
                            </w:rPr>
                            <w:t xml:space="preserve">— </w:t>
                          </w:r>
                          <w:r>
                            <w:rPr>
                              <w:rFonts w:hint="eastAsia" w:asciiTheme="minorEastAsia" w:hAnsiTheme="minorEastAsia" w:eastAsiaTheme="minorEastAsia" w:cstheme="minorEastAsia"/>
                              <w:sz w:val="32"/>
                              <w:szCs w:val="48"/>
                            </w:rPr>
                            <w:fldChar w:fldCharType="begin"/>
                          </w:r>
                          <w:r>
                            <w:rPr>
                              <w:rFonts w:hint="eastAsia" w:asciiTheme="minorEastAsia" w:hAnsiTheme="minorEastAsia" w:eastAsiaTheme="minorEastAsia" w:cstheme="minorEastAsia"/>
                              <w:sz w:val="32"/>
                              <w:szCs w:val="48"/>
                            </w:rPr>
                            <w:instrText xml:space="preserve"> PAGE  \* MERGEFORMAT </w:instrText>
                          </w:r>
                          <w:r>
                            <w:rPr>
                              <w:rFonts w:hint="eastAsia" w:asciiTheme="minorEastAsia" w:hAnsiTheme="minorEastAsia" w:eastAsiaTheme="minorEastAsia" w:cstheme="minorEastAsia"/>
                              <w:sz w:val="32"/>
                              <w:szCs w:val="48"/>
                            </w:rPr>
                            <w:fldChar w:fldCharType="separate"/>
                          </w:r>
                          <w:r>
                            <w:rPr>
                              <w:rFonts w:hint="eastAsia" w:asciiTheme="minorEastAsia" w:hAnsiTheme="minorEastAsia" w:eastAsiaTheme="minorEastAsia" w:cstheme="minorEastAsia"/>
                              <w:sz w:val="32"/>
                              <w:szCs w:val="48"/>
                            </w:rPr>
                            <w:t>1</w:t>
                          </w:r>
                          <w:r>
                            <w:rPr>
                              <w:rFonts w:hint="eastAsia" w:asciiTheme="minorEastAsia" w:hAnsiTheme="minorEastAsia" w:eastAsiaTheme="minorEastAsia" w:cstheme="minorEastAsia"/>
                              <w:sz w:val="32"/>
                              <w:szCs w:val="48"/>
                            </w:rPr>
                            <w:fldChar w:fldCharType="end"/>
                          </w:r>
                          <w:r>
                            <w:rPr>
                              <w:rFonts w:hint="eastAsia" w:asciiTheme="minorEastAsia" w:hAnsiTheme="minorEastAsia" w:eastAsiaTheme="minorEastAsia" w:cstheme="minorEastAsia"/>
                              <w:sz w:val="32"/>
                              <w:szCs w:val="4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2ECF44">
                    <w:pPr>
                      <w:pStyle w:val="6"/>
                      <w:ind w:left="0" w:leftChars="0" w:firstLine="0" w:firstLineChars="0"/>
                      <w:rPr>
                        <w:rFonts w:hint="eastAsia" w:asciiTheme="minorEastAsia" w:hAnsiTheme="minorEastAsia" w:eastAsiaTheme="minorEastAsia" w:cstheme="minorEastAsia"/>
                        <w:sz w:val="32"/>
                        <w:szCs w:val="48"/>
                      </w:rPr>
                    </w:pPr>
                    <w:r>
                      <w:rPr>
                        <w:rFonts w:hint="eastAsia" w:asciiTheme="minorEastAsia" w:hAnsiTheme="minorEastAsia" w:eastAsiaTheme="minorEastAsia" w:cstheme="minorEastAsia"/>
                        <w:sz w:val="32"/>
                        <w:szCs w:val="48"/>
                      </w:rPr>
                      <w:t xml:space="preserve">— </w:t>
                    </w:r>
                    <w:r>
                      <w:rPr>
                        <w:rFonts w:hint="eastAsia" w:asciiTheme="minorEastAsia" w:hAnsiTheme="minorEastAsia" w:eastAsiaTheme="minorEastAsia" w:cstheme="minorEastAsia"/>
                        <w:sz w:val="32"/>
                        <w:szCs w:val="48"/>
                      </w:rPr>
                      <w:fldChar w:fldCharType="begin"/>
                    </w:r>
                    <w:r>
                      <w:rPr>
                        <w:rFonts w:hint="eastAsia" w:asciiTheme="minorEastAsia" w:hAnsiTheme="minorEastAsia" w:eastAsiaTheme="minorEastAsia" w:cstheme="minorEastAsia"/>
                        <w:sz w:val="32"/>
                        <w:szCs w:val="48"/>
                      </w:rPr>
                      <w:instrText xml:space="preserve"> PAGE  \* MERGEFORMAT </w:instrText>
                    </w:r>
                    <w:r>
                      <w:rPr>
                        <w:rFonts w:hint="eastAsia" w:asciiTheme="minorEastAsia" w:hAnsiTheme="minorEastAsia" w:eastAsiaTheme="minorEastAsia" w:cstheme="minorEastAsia"/>
                        <w:sz w:val="32"/>
                        <w:szCs w:val="48"/>
                      </w:rPr>
                      <w:fldChar w:fldCharType="separate"/>
                    </w:r>
                    <w:r>
                      <w:rPr>
                        <w:rFonts w:hint="eastAsia" w:asciiTheme="minorEastAsia" w:hAnsiTheme="minorEastAsia" w:eastAsiaTheme="minorEastAsia" w:cstheme="minorEastAsia"/>
                        <w:sz w:val="32"/>
                        <w:szCs w:val="48"/>
                      </w:rPr>
                      <w:t>1</w:t>
                    </w:r>
                    <w:r>
                      <w:rPr>
                        <w:rFonts w:hint="eastAsia" w:asciiTheme="minorEastAsia" w:hAnsiTheme="minorEastAsia" w:eastAsiaTheme="minorEastAsia" w:cstheme="minorEastAsia"/>
                        <w:sz w:val="32"/>
                        <w:szCs w:val="48"/>
                      </w:rPr>
                      <w:fldChar w:fldCharType="end"/>
                    </w:r>
                    <w:r>
                      <w:rPr>
                        <w:rFonts w:hint="eastAsia" w:asciiTheme="minorEastAsia" w:hAnsiTheme="minorEastAsia" w:eastAsiaTheme="minorEastAsia" w:cstheme="minorEastAsia"/>
                        <w:sz w:val="32"/>
                        <w:szCs w:val="4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87C2B"/>
    <w:multiLevelType w:val="singleLevel"/>
    <w:tmpl w:val="02F87C2B"/>
    <w:lvl w:ilvl="0" w:tentative="0">
      <w:start w:val="1"/>
      <w:numFmt w:val="chineseCounting"/>
      <w:suff w:val="nothing"/>
      <w:lvlText w:val="（%1）"/>
      <w:lvlJc w:val="left"/>
      <w:pPr>
        <w:ind w:left="-100" w:firstLine="420"/>
      </w:pPr>
      <w:rPr>
        <w:rFonts w:hint="eastAsia" w:ascii="楷体_GB2312" w:hAnsi="楷体_GB2312" w:eastAsia="楷体_GB2312" w:cs="楷体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E34CA"/>
    <w:rsid w:val="129D2CBC"/>
    <w:rsid w:val="25BF0065"/>
    <w:rsid w:val="2D75167B"/>
    <w:rsid w:val="323B2146"/>
    <w:rsid w:val="343956DF"/>
    <w:rsid w:val="359F0C3E"/>
    <w:rsid w:val="486E319E"/>
    <w:rsid w:val="49572371"/>
    <w:rsid w:val="66F26FCB"/>
    <w:rsid w:val="714B2540"/>
    <w:rsid w:val="78A1528E"/>
    <w:rsid w:val="7BA962C2"/>
    <w:rsid w:val="7DE25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eastAsia="仿宋"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600" w:lineRule="exact"/>
      <w:outlineLvl w:val="1"/>
    </w:pPr>
    <w:rPr>
      <w:rFonts w:ascii="Arial" w:hAnsi="Arial" w:eastAsia="黑体"/>
    </w:rPr>
  </w:style>
  <w:style w:type="paragraph" w:styleId="5">
    <w:name w:val="heading 3"/>
    <w:basedOn w:val="1"/>
    <w:next w:val="1"/>
    <w:semiHidden/>
    <w:unhideWhenUsed/>
    <w:qFormat/>
    <w:uiPriority w:val="0"/>
    <w:pPr>
      <w:keepNext/>
      <w:keepLines/>
      <w:spacing w:before="260" w:beforeLines="0" w:beforeAutospacing="0" w:after="260" w:afterLines="0" w:afterAutospacing="0" w:line="600" w:lineRule="exact"/>
      <w:outlineLvl w:val="2"/>
    </w:pPr>
    <w:rPr>
      <w:rFonts w:eastAsia="楷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pPr>
    <w:rPr>
      <w:rFonts w:ascii="Calibri" w:hAnsi="Calibri" w:eastAsia="宋体" w:cs="Times New Roman"/>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2106</Words>
  <Characters>2181</Characters>
  <Lines>0</Lines>
  <Paragraphs>0</Paragraphs>
  <TotalTime>1</TotalTime>
  <ScaleCrop>false</ScaleCrop>
  <LinksUpToDate>false</LinksUpToDate>
  <CharactersWithSpaces>2181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2023-08-19T05:07:00Z</dcterms:created>
  <dc:creator>Administrator</dc:creator>
  <cp:lastModifiedBy>刘子迁</cp:lastModifiedBy>
  <cp:lastPrinted>2026-05-22T01:44:00Z</cp:lastPrinted>
  <dcterms:modified xsi:type="dcterms:W3CDTF">2026-05-22T09:15:42Z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0000305867F34467807EF2758E7EAE47_13</vt:lpwstr>
  </property>
</Properties>
</file>